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667E2483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DC5180" w:rsidRPr="0033027D">
        <w:rPr>
          <w:b/>
          <w:noProof/>
          <w:sz w:val="24"/>
        </w:rPr>
        <w:tab/>
      </w:r>
      <w:r w:rsidR="00DB444F" w:rsidRPr="00DB444F">
        <w:rPr>
          <w:rFonts w:cs="Arial"/>
          <w:b/>
          <w:bCs/>
          <w:color w:val="808080"/>
          <w:sz w:val="26"/>
          <w:szCs w:val="26"/>
        </w:rPr>
        <w:t>R4-2500491</w:t>
      </w:r>
    </w:p>
    <w:p w14:paraId="63C63B34" w14:textId="446B6869" w:rsidR="001512D7" w:rsidRPr="002209E4" w:rsidRDefault="00A2282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Athens, Greece</w:t>
      </w:r>
      <w:r w:rsidR="007E7D4B" w:rsidRPr="007E7D4B">
        <w:rPr>
          <w:rFonts w:cs="Arial"/>
          <w:sz w:val="24"/>
          <w:szCs w:val="24"/>
        </w:rPr>
        <w:t xml:space="preserve">,  </w:t>
      </w:r>
      <w:r w:rsidR="008E4E13">
        <w:rPr>
          <w:rFonts w:cs="Arial"/>
          <w:sz w:val="24"/>
          <w:szCs w:val="24"/>
        </w:rPr>
        <w:t>16</w:t>
      </w:r>
      <w:r w:rsidR="008E4E13" w:rsidRPr="008E4E13">
        <w:rPr>
          <w:rFonts w:cs="Arial"/>
          <w:sz w:val="24"/>
          <w:szCs w:val="24"/>
          <w:vertAlign w:val="superscript"/>
        </w:rPr>
        <w:t>th</w:t>
      </w:r>
      <w:r w:rsidR="008E4E13">
        <w:rPr>
          <w:rFonts w:cs="Arial"/>
          <w:sz w:val="24"/>
          <w:szCs w:val="24"/>
        </w:rPr>
        <w:t xml:space="preserve"> – 21</w:t>
      </w:r>
      <w:r w:rsidR="008E4E13" w:rsidRPr="008E4E13">
        <w:rPr>
          <w:rFonts w:cs="Arial"/>
          <w:sz w:val="24"/>
          <w:szCs w:val="24"/>
          <w:vertAlign w:val="superscript"/>
        </w:rPr>
        <w:t>st</w:t>
      </w:r>
      <w:r w:rsidR="008E4E1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</w:t>
      </w:r>
      <w:r w:rsidR="0029095F">
        <w:rPr>
          <w:rFonts w:cs="Arial"/>
          <w:sz w:val="24"/>
          <w:szCs w:val="24"/>
        </w:rPr>
        <w:t>b</w:t>
      </w:r>
      <w:r w:rsidR="008E4E13">
        <w:rPr>
          <w:rFonts w:cs="Arial"/>
          <w:sz w:val="24"/>
          <w:szCs w:val="24"/>
        </w:rPr>
        <w:t>ruary</w:t>
      </w:r>
      <w:r w:rsidR="007E7D4B" w:rsidRPr="007E7D4B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  <w:r w:rsidR="00766B19">
        <w:rPr>
          <w:rFonts w:cs="Arial"/>
          <w:sz w:val="24"/>
        </w:rPr>
        <w:br/>
      </w:r>
    </w:p>
    <w:p w14:paraId="2A75FF71" w14:textId="45508DD2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13E70" w:rsidRPr="00B13E70">
        <w:rPr>
          <w:rFonts w:ascii="Arial" w:hAnsi="Arial" w:cs="Arial"/>
          <w:b/>
        </w:rPr>
        <w:t>Initial views on RF impact for NTN IoT TDD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0A7786D8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16E81">
        <w:rPr>
          <w:rFonts w:ascii="Arial" w:hAnsi="Arial" w:cs="Arial"/>
          <w:b/>
        </w:rPr>
        <w:t>7</w:t>
      </w:r>
      <w:r w:rsidR="00623E79">
        <w:rPr>
          <w:rFonts w:ascii="Arial" w:hAnsi="Arial" w:cs="Arial"/>
          <w:b/>
        </w:rPr>
        <w:t>.31.</w:t>
      </w:r>
      <w:r w:rsidR="00C4279A">
        <w:rPr>
          <w:rFonts w:ascii="Arial" w:hAnsi="Arial" w:cs="Arial"/>
          <w:b/>
        </w:rPr>
        <w:t>4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781A1615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A22826" w:rsidRPr="00A22826">
        <w:rPr>
          <w:rFonts w:ascii="Arial" w:hAnsi="Arial" w:cs="Arial"/>
          <w:b/>
        </w:rPr>
        <w:t>IoT_NTN_TDD-Core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520A586E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60509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1763CC4A" w:rsidR="00777E6E" w:rsidRDefault="009A37DD" w:rsidP="003234CA">
      <w:r>
        <w:t xml:space="preserve">WID </w:t>
      </w:r>
      <w:r w:rsidR="00953B9C">
        <w:t xml:space="preserve">[1] </w:t>
      </w:r>
      <w:r>
        <w:t xml:space="preserve">was approved with new TDD mode for NTN IoT and </w:t>
      </w:r>
      <w:r w:rsidR="002309FF">
        <w:t xml:space="preserve">a new band definition for </w:t>
      </w:r>
      <w:r w:rsidR="00953B9C" w:rsidRPr="00953B9C">
        <w:t>1616-1626.5 MHz</w:t>
      </w:r>
      <w:r w:rsidR="00953B9C">
        <w:t xml:space="preserve">. </w:t>
      </w:r>
      <w:r w:rsidR="00E37696">
        <w:t xml:space="preserve">WF </w:t>
      </w:r>
      <w:r w:rsidR="00953B9C">
        <w:t xml:space="preserve">[2] </w:t>
      </w:r>
      <w:r w:rsidR="00E37696">
        <w:t xml:space="preserve">was </w:t>
      </w:r>
      <w:r w:rsidR="00953B9C">
        <w:t xml:space="preserve">agreed in RAN4#113 </w:t>
      </w:r>
      <w:r w:rsidR="00490373">
        <w:t>with some good progress in RF domain</w:t>
      </w:r>
      <w:r w:rsidR="00BE0001">
        <w:t xml:space="preserve"> requirements</w:t>
      </w:r>
      <w:r w:rsidR="00490373">
        <w:t>.</w:t>
      </w:r>
      <w:r w:rsidR="00BE0001">
        <w:t xml:space="preserve"> </w:t>
      </w:r>
      <w:r w:rsidR="00C72852">
        <w:t xml:space="preserve">In this paper we provide our view of some key RF requirements to be addressed </w:t>
      </w:r>
      <w:r w:rsidR="00814263">
        <w:t xml:space="preserve">for this feature. </w:t>
      </w:r>
      <w:r w:rsidR="00490373">
        <w:t xml:space="preserve"> 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CC105BA" w14:textId="77777777" w:rsidR="005754BD" w:rsidRDefault="00814263" w:rsidP="005754BD">
      <w:pPr>
        <w:pStyle w:val="Heading2"/>
      </w:pPr>
      <w:r>
        <w:t>2.1</w:t>
      </w:r>
      <w:r w:rsidR="005754BD">
        <w:tab/>
        <w:t>Duplex switching time</w:t>
      </w:r>
    </w:p>
    <w:p w14:paraId="1264C7D8" w14:textId="77777777" w:rsidR="00C81846" w:rsidRDefault="005754BD" w:rsidP="005754BD">
      <w:r>
        <w:t xml:space="preserve">Duplex switching time is not specified for LTE based system as it is specified for NR based in TS 38.211 </w:t>
      </w:r>
      <w:r w:rsidR="00CD736E">
        <w:t xml:space="preserve">clause 4.3.2. Instead it is implicitly defined e.g. in transient period timing diagrams. </w:t>
      </w:r>
      <w:r w:rsidR="00675DE9">
        <w:t>For NB IoT TDD this was discussed in</w:t>
      </w:r>
      <w:r w:rsidR="001D5988">
        <w:t xml:space="preserve"> Rel-16 and after liaison exchange, RAN4 agreed </w:t>
      </w:r>
      <w:r w:rsidR="001850CB">
        <w:t xml:space="preserve">[3] that the duplex switching time for NB-IoT TDD is 40 µsec. </w:t>
      </w:r>
    </w:p>
    <w:p w14:paraId="016ED686" w14:textId="523C64F8" w:rsidR="003977B8" w:rsidRDefault="00C81846" w:rsidP="005754BD">
      <w:r>
        <w:t xml:space="preserve">For this feature, since the frame design is </w:t>
      </w:r>
      <w:r w:rsidR="00253A1B">
        <w:t>agree</w:t>
      </w:r>
      <w:r w:rsidR="00206284">
        <w:t>d</w:t>
      </w:r>
      <w:r w:rsidR="00253A1B">
        <w:t xml:space="preserve"> by RAN1</w:t>
      </w:r>
      <w:r w:rsidR="00206284">
        <w:t xml:space="preserve"> to be</w:t>
      </w:r>
      <w:r w:rsidR="00253A1B">
        <w:t xml:space="preserve"> </w:t>
      </w:r>
      <w:r w:rsidR="001C774F">
        <w:t xml:space="preserve">N=9, U=D=8, </w:t>
      </w:r>
      <w:r w:rsidR="00B64E67">
        <w:t>and index of the U</w:t>
      </w:r>
      <w:r w:rsidR="00FE6E3B">
        <w:t>L</w:t>
      </w:r>
      <w:r w:rsidR="00B64E67">
        <w:t xml:space="preserve"> and DL</w:t>
      </w:r>
      <w:r w:rsidR="00097FB3">
        <w:t xml:space="preserve"> slot</w:t>
      </w:r>
      <w:r w:rsidR="00B64E67">
        <w:t xml:space="preserve"> is always the</w:t>
      </w:r>
      <w:r w:rsidR="00097FB3">
        <w:t xml:space="preserve"> same</w:t>
      </w:r>
      <w:r w:rsidR="005F2375">
        <w:t xml:space="preserve"> [4]</w:t>
      </w:r>
      <w:r w:rsidR="006B2A71">
        <w:t xml:space="preserve"> , agreement copied to Annex</w:t>
      </w:r>
      <w:r w:rsidR="00097FB3">
        <w:t xml:space="preserve">. This gives long time between TX and RX even with the 1200 km elevation where propagation time is 4 msec since </w:t>
      </w:r>
      <w:r w:rsidR="009A1443">
        <w:t>there are three empty slots in between</w:t>
      </w:r>
      <w:r w:rsidR="00E47185">
        <w:t xml:space="preserve">. This yields </w:t>
      </w:r>
      <w:r w:rsidR="009A1443">
        <w:t xml:space="preserve">&gt; </w:t>
      </w:r>
      <w:r w:rsidR="003977B8">
        <w:t>1</w:t>
      </w:r>
      <w:r w:rsidR="006371F8">
        <w:t>5</w:t>
      </w:r>
      <w:r w:rsidR="00E47185">
        <w:t xml:space="preserve"> milliseconds</w:t>
      </w:r>
      <w:r w:rsidR="003977B8">
        <w:t xml:space="preserve"> for UE to switch from TX to RX.</w:t>
      </w:r>
      <w:r w:rsidR="006371F8">
        <w:t xml:space="preserve"> This is visualized in Figure 1. In </w:t>
      </w:r>
      <w:r w:rsidR="008D312E">
        <w:t>practice</w:t>
      </w:r>
      <w:r w:rsidR="006371F8">
        <w:t xml:space="preserve"> the time is even longer since there are </w:t>
      </w:r>
      <w:r w:rsidR="008D312E">
        <w:t xml:space="preserve">gaps surrounding the simplex timeslot. </w:t>
      </w:r>
    </w:p>
    <w:p w14:paraId="78B9050F" w14:textId="6999C08C" w:rsidR="00FB3F6F" w:rsidRDefault="00434B31" w:rsidP="005754BD">
      <w:r>
        <w:pict w14:anchorId="0F3C5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145.35pt">
            <v:imagedata r:id="rId9" o:title=""/>
          </v:shape>
        </w:pict>
      </w:r>
    </w:p>
    <w:p w14:paraId="18DE72FF" w14:textId="77777777" w:rsidR="006371F8" w:rsidRDefault="00FB3F6F" w:rsidP="005F2375">
      <w:pPr>
        <w:pStyle w:val="TF"/>
      </w:pPr>
      <w:r>
        <w:t xml:space="preserve">Figure 1. </w:t>
      </w:r>
      <w:r w:rsidR="006371F8">
        <w:t>Timings from UE perspective and Duplex switching time</w:t>
      </w:r>
    </w:p>
    <w:p w14:paraId="526B6C95" w14:textId="02DC6627" w:rsidR="00C47124" w:rsidRPr="005F2375" w:rsidRDefault="00C47124" w:rsidP="005754BD">
      <w:pPr>
        <w:rPr>
          <w:b/>
          <w:bCs/>
        </w:rPr>
      </w:pPr>
      <w:r w:rsidRPr="005F2375">
        <w:rPr>
          <w:b/>
          <w:bCs/>
        </w:rPr>
        <w:t xml:space="preserve">Observation: </w:t>
      </w:r>
      <w:r w:rsidR="00A4438F" w:rsidRPr="005F2375">
        <w:rPr>
          <w:b/>
          <w:bCs/>
        </w:rPr>
        <w:t xml:space="preserve">NB IoT TDD </w:t>
      </w:r>
      <w:r w:rsidRPr="005F2375">
        <w:rPr>
          <w:b/>
          <w:bCs/>
        </w:rPr>
        <w:t>N</w:t>
      </w:r>
      <w:r w:rsidR="00426FCE" w:rsidRPr="005F2375">
        <w:rPr>
          <w:b/>
          <w:bCs/>
          <w:vertAlign w:val="subscript"/>
        </w:rPr>
        <w:t>R</w:t>
      </w:r>
      <w:r w:rsidRPr="005F2375">
        <w:rPr>
          <w:b/>
          <w:bCs/>
          <w:vertAlign w:val="subscript"/>
        </w:rPr>
        <w:t>X</w:t>
      </w:r>
      <w:r w:rsidR="00426FCE" w:rsidRPr="005F2375">
        <w:rPr>
          <w:b/>
          <w:bCs/>
          <w:vertAlign w:val="subscript"/>
        </w:rPr>
        <w:t>-TX</w:t>
      </w:r>
      <w:r w:rsidR="00426FCE" w:rsidRPr="005F2375">
        <w:rPr>
          <w:b/>
          <w:bCs/>
        </w:rPr>
        <w:t xml:space="preserve"> is more than </w:t>
      </w:r>
      <w:r w:rsidR="00A4438F" w:rsidRPr="005F2375">
        <w:rPr>
          <w:b/>
          <w:bCs/>
        </w:rPr>
        <w:t>enough for NTN NB IoT</w:t>
      </w:r>
      <w:r w:rsidR="005F2375" w:rsidRPr="005F2375">
        <w:rPr>
          <w:b/>
          <w:bCs/>
        </w:rPr>
        <w:t xml:space="preserve"> frame structure</w:t>
      </w:r>
      <w:r w:rsidR="00696C34">
        <w:rPr>
          <w:b/>
          <w:bCs/>
        </w:rPr>
        <w:t xml:space="preserve"> and does not need further discussions</w:t>
      </w:r>
      <w:r w:rsidR="005F2375" w:rsidRPr="005F2375">
        <w:rPr>
          <w:b/>
          <w:bCs/>
        </w:rPr>
        <w:t xml:space="preserve">. </w:t>
      </w:r>
      <w:r w:rsidR="00426FCE" w:rsidRPr="005F2375">
        <w:rPr>
          <w:b/>
          <w:bCs/>
        </w:rPr>
        <w:t xml:space="preserve">  </w:t>
      </w:r>
    </w:p>
    <w:p w14:paraId="3F66AF54" w14:textId="489A9123" w:rsidR="00FB3F6F" w:rsidRDefault="00FB3F6F" w:rsidP="005754BD"/>
    <w:p w14:paraId="19A3F96C" w14:textId="18294ECF" w:rsidR="00AA6CB8" w:rsidRDefault="00AA6CB8" w:rsidP="005754BD"/>
    <w:p w14:paraId="213AE7B8" w14:textId="77777777" w:rsidR="001E18A4" w:rsidRDefault="00010FFB" w:rsidP="00FE3995">
      <w:pPr>
        <w:pStyle w:val="Heading2"/>
      </w:pPr>
      <w:r>
        <w:t>2.2</w:t>
      </w:r>
      <w:r w:rsidR="001E18A4">
        <w:tab/>
        <w:t>AMPR</w:t>
      </w:r>
    </w:p>
    <w:p w14:paraId="0040BEEC" w14:textId="578B9F16" w:rsidR="001E18A4" w:rsidRDefault="001E18A4" w:rsidP="005754BD">
      <w:r>
        <w:t xml:space="preserve">As written in WF [2], the AMPR </w:t>
      </w:r>
      <w:r w:rsidR="00BD6316">
        <w:t xml:space="preserve">work can benefit from </w:t>
      </w:r>
      <w:r w:rsidR="000E2D81">
        <w:t>B254</w:t>
      </w:r>
      <w:r w:rsidR="000C04AC">
        <w:t xml:space="preserve"> AMPR but the work for B2</w:t>
      </w:r>
      <w:r w:rsidR="006C1CA9">
        <w:t xml:space="preserve">54 should be completed. </w:t>
      </w:r>
      <w:r w:rsidR="00825C00">
        <w:t xml:space="preserve">The frequencies are not exactly aligned, </w:t>
      </w:r>
    </w:p>
    <w:p w14:paraId="34231D7E" w14:textId="73E51F2D" w:rsidR="001E22F0" w:rsidRDefault="00F30D84" w:rsidP="005754BD">
      <w:r>
        <w:t xml:space="preserve">[249] is </w:t>
      </w:r>
      <w:r w:rsidRPr="00953B9C">
        <w:t>1616-1626.5 MHz</w:t>
      </w:r>
      <w:r>
        <w:t xml:space="preserve"> and B254 is </w:t>
      </w:r>
      <w:r w:rsidR="000C6E82" w:rsidRPr="000C6E82">
        <w:t>1610-1626.5</w:t>
      </w:r>
      <w:r w:rsidR="000C6E82">
        <w:t xml:space="preserve"> MHz</w:t>
      </w:r>
      <w:r w:rsidR="001F58E2">
        <w:t xml:space="preserve"> and protected regions are </w:t>
      </w:r>
      <w:r w:rsidR="00E84185">
        <w:t xml:space="preserve">just below </w:t>
      </w:r>
      <w:r w:rsidR="004A3EC8">
        <w:t xml:space="preserve">1610 MHz and above 1628.5 MHz. The AMPR work that is </w:t>
      </w:r>
      <w:r w:rsidR="008E427E">
        <w:t xml:space="preserve">dependent of the emissions falling to higher side of the bands may be re-used but </w:t>
      </w:r>
      <w:r w:rsidR="00F04858">
        <w:t xml:space="preserve">the emissions on the lower side of the [249] band need to be carefully analysed. </w:t>
      </w:r>
      <w:r w:rsidR="008E427E">
        <w:t xml:space="preserve"> </w:t>
      </w:r>
    </w:p>
    <w:p w14:paraId="26EB7450" w14:textId="03CF4595" w:rsidR="007E35DC" w:rsidRDefault="007E35DC" w:rsidP="005754BD">
      <w:pPr>
        <w:rPr>
          <w:b/>
          <w:bCs/>
        </w:rPr>
      </w:pPr>
      <w:r w:rsidRPr="007E35DC">
        <w:rPr>
          <w:b/>
          <w:bCs/>
        </w:rPr>
        <w:t>Proposal 1: Focus on AMPR work for the lower side emissions</w:t>
      </w:r>
      <w:r>
        <w:rPr>
          <w:b/>
          <w:bCs/>
        </w:rPr>
        <w:t xml:space="preserve"> for band [249]</w:t>
      </w:r>
      <w:r w:rsidRPr="007E35DC">
        <w:rPr>
          <w:b/>
          <w:bCs/>
        </w:rPr>
        <w:t xml:space="preserve">. </w:t>
      </w:r>
    </w:p>
    <w:p w14:paraId="00EEC920" w14:textId="4405054B" w:rsidR="00F2758E" w:rsidRPr="00ED45F4" w:rsidRDefault="00F2758E" w:rsidP="005754BD">
      <w:r w:rsidRPr="00ED45F4">
        <w:t xml:space="preserve">In addition to the additional spurious emissions, there are additional </w:t>
      </w:r>
      <w:r w:rsidR="00ED45F4" w:rsidRPr="00ED45F4">
        <w:t xml:space="preserve">Spectral Emission mask requirements. These can be copied from B254 work since they are Fc agnostic. </w:t>
      </w:r>
    </w:p>
    <w:p w14:paraId="5257A57A" w14:textId="77777777" w:rsidR="00FE3995" w:rsidRDefault="00FE3995" w:rsidP="00FE3995">
      <w:pPr>
        <w:pStyle w:val="Heading2"/>
      </w:pPr>
      <w:r>
        <w:t>2.3</w:t>
      </w:r>
      <w:r>
        <w:tab/>
        <w:t>RMC definition for NTN IoT</w:t>
      </w:r>
    </w:p>
    <w:p w14:paraId="3E061D03" w14:textId="5D1885D7" w:rsidR="00FE3995" w:rsidRDefault="00FE3995" w:rsidP="005754BD">
      <w:r>
        <w:t>New RMC</w:t>
      </w:r>
      <w:r w:rsidR="007E35DC">
        <w:t xml:space="preserve">’s are needed for REFSENS and output power related </w:t>
      </w:r>
      <w:r w:rsidR="004266FD">
        <w:t xml:space="preserve">requirements. These should be aligned with the recent agreement in RAN1 for the frame structure and re-used from FDD NTN NB IoT for appropriate parts. </w:t>
      </w:r>
    </w:p>
    <w:p w14:paraId="0AD4F771" w14:textId="0990EFC9" w:rsidR="008B45E3" w:rsidRDefault="00FE3995" w:rsidP="004266FD">
      <w:pPr>
        <w:pStyle w:val="Heading2"/>
      </w:pPr>
      <w:r>
        <w:t xml:space="preserve">2.4 </w:t>
      </w:r>
      <w:r>
        <w:tab/>
        <w:t>Freq error</w:t>
      </w:r>
    </w:p>
    <w:p w14:paraId="2B6EAFE9" w14:textId="6EFC053C" w:rsidR="004266FD" w:rsidRDefault="004266FD" w:rsidP="004266FD">
      <w:r>
        <w:t xml:space="preserve">Frequency error and Doppler handling </w:t>
      </w:r>
      <w:r w:rsidR="00163C96">
        <w:t xml:space="preserve">for it may need some additional work. </w:t>
      </w:r>
      <w:r w:rsidR="00FA1FE6">
        <w:t xml:space="preserve">Especially the part with the </w:t>
      </w:r>
      <w:r w:rsidR="00012EBD">
        <w:t xml:space="preserve">repetition </w:t>
      </w:r>
      <w:r w:rsidR="00FA1FE6">
        <w:t>segmentation</w:t>
      </w:r>
      <w:r w:rsidR="00012EBD">
        <w:t xml:space="preserve"> seems unnecessary</w:t>
      </w:r>
      <w:r w:rsidR="00FA1FE6">
        <w:t>:</w:t>
      </w:r>
    </w:p>
    <w:p w14:paraId="11B23684" w14:textId="63E756B0" w:rsidR="004818C7" w:rsidRDefault="00FA1FE6" w:rsidP="004266FD">
      <w:r>
        <w:t xml:space="preserve">Clause </w:t>
      </w:r>
      <w:r w:rsidR="004818C7">
        <w:t>6.4B.1</w:t>
      </w:r>
      <w:r w:rsidR="001605A5">
        <w:t>of TS36.102</w:t>
      </w:r>
      <w:r w:rsidR="004818C7">
        <w:t>:</w:t>
      </w:r>
    </w:p>
    <w:p w14:paraId="125CE3D0" w14:textId="77777777" w:rsidR="004818C7" w:rsidRDefault="004818C7" w:rsidP="004266FD">
      <w:r>
        <w:t>…</w:t>
      </w:r>
    </w:p>
    <w:p w14:paraId="459A5666" w14:textId="1D063646" w:rsidR="004818C7" w:rsidRPr="004818C7" w:rsidRDefault="00FA1FE6" w:rsidP="004266FD">
      <w:pPr>
        <w:rPr>
          <w:i/>
          <w:iCs/>
        </w:rPr>
      </w:pPr>
      <w:r w:rsidRPr="004818C7">
        <w:rPr>
          <w:i/>
          <w:iCs/>
        </w:rPr>
        <w:t xml:space="preserve">When a repetition period is configured on the uplink for which repetition period (R ) &gt;1, the </w:t>
      </w:r>
      <w:r w:rsidRPr="00F6288E">
        <w:rPr>
          <w:i/>
          <w:iCs/>
          <w:highlight w:val="yellow"/>
        </w:rPr>
        <w:t>UE shall not change Doppler pre-compensation during an ongoing repetition period</w:t>
      </w:r>
      <w:r w:rsidRPr="004818C7">
        <w:rPr>
          <w:i/>
          <w:iCs/>
        </w:rPr>
        <w:t>, except in the transmission gaps as defined in clause 10.1.3.6 of TS 36.211[3]. When segmentation is applied, then the UE shall update pre-compensation at the beginning of each segment prior to segment transmission</w:t>
      </w:r>
      <w:r w:rsidR="004818C7" w:rsidRPr="004818C7">
        <w:rPr>
          <w:i/>
          <w:iCs/>
        </w:rPr>
        <w:t>.</w:t>
      </w:r>
    </w:p>
    <w:p w14:paraId="7C219D42" w14:textId="2E7CA3F0" w:rsidR="004818C7" w:rsidRDefault="004818C7" w:rsidP="004266FD">
      <w:r>
        <w:t>…</w:t>
      </w:r>
    </w:p>
    <w:p w14:paraId="361D60AF" w14:textId="77777777" w:rsidR="002F1208" w:rsidRDefault="001605A5" w:rsidP="004266FD">
      <w:r>
        <w:t xml:space="preserve">Since UL transmissions are not constant, due to TDD system nature, </w:t>
      </w:r>
      <w:r w:rsidR="00912093">
        <w:t>it makes sense to have UE update the pre-compensation between every active UL slot</w:t>
      </w:r>
      <w:r w:rsidR="002F1208">
        <w:t>. There is plenty of time, as shown in Figure 1</w:t>
      </w:r>
      <w:r w:rsidR="00912093">
        <w:t>.</w:t>
      </w:r>
    </w:p>
    <w:p w14:paraId="24B7B221" w14:textId="77777777" w:rsidR="002C0637" w:rsidRPr="00F6288E" w:rsidRDefault="002F1208" w:rsidP="004266FD">
      <w:pPr>
        <w:rPr>
          <w:b/>
          <w:bCs/>
        </w:rPr>
      </w:pPr>
      <w:r w:rsidRPr="00F6288E">
        <w:rPr>
          <w:b/>
          <w:bCs/>
        </w:rPr>
        <w:t xml:space="preserve">Proposal 2: </w:t>
      </w:r>
      <w:r w:rsidR="00CA7AA3" w:rsidRPr="00F6288E">
        <w:rPr>
          <w:b/>
          <w:bCs/>
        </w:rPr>
        <w:t>Update</w:t>
      </w:r>
      <w:r w:rsidR="00912093" w:rsidRPr="00F6288E">
        <w:rPr>
          <w:b/>
          <w:bCs/>
        </w:rPr>
        <w:t xml:space="preserve"> </w:t>
      </w:r>
      <w:r w:rsidR="002C0637" w:rsidRPr="00F6288E">
        <w:rPr>
          <w:b/>
          <w:bCs/>
        </w:rPr>
        <w:t xml:space="preserve">frequency error requirement for TDD to allow UE to update pre-compensation between every UL slot. </w:t>
      </w:r>
    </w:p>
    <w:p w14:paraId="148EB8AD" w14:textId="3B942FCD" w:rsidR="005754BD" w:rsidRPr="005754BD" w:rsidRDefault="003D0AEC" w:rsidP="005754BD">
      <w:r>
        <w:t xml:space="preserve">It seems unrealistic to mandate UE to maintain phase continuity between two UL slots since they are </w:t>
      </w:r>
      <w:r w:rsidR="0097128A">
        <w:t xml:space="preserve">very </w:t>
      </w:r>
      <w:r w:rsidR="00C44163">
        <w:t>far from</w:t>
      </w:r>
      <w:r w:rsidR="0097128A">
        <w:t xml:space="preserve"> </w:t>
      </w:r>
      <w:r w:rsidR="00434B31">
        <w:t>each other</w:t>
      </w:r>
      <w:r w:rsidR="0097128A">
        <w:t xml:space="preserve"> in time. RAN4 does not specify phase continuity currently bu</w:t>
      </w:r>
      <w:r w:rsidR="00F6288E">
        <w:t xml:space="preserve">t if UE </w:t>
      </w:r>
      <w:r w:rsidR="00C44163">
        <w:t>is not</w:t>
      </w:r>
      <w:r w:rsidR="00F6288E">
        <w:t xml:space="preserve"> allowed to update the pre-compensation between the UL slots, it implies there is a requirement for some continuity</w:t>
      </w:r>
      <w:r w:rsidR="00434B31">
        <w:t xml:space="preserve"> between slots</w:t>
      </w:r>
      <w:r w:rsidR="00F6288E">
        <w:t xml:space="preserve">. </w:t>
      </w:r>
    </w:p>
    <w:p w14:paraId="068A8046" w14:textId="0A250700" w:rsidR="0036403F" w:rsidRDefault="00814263" w:rsidP="0036403F">
      <w:pPr>
        <w:pStyle w:val="Heading1"/>
      </w:pPr>
      <w:r>
        <w:t xml:space="preserve"> </w:t>
      </w:r>
      <w:r w:rsidR="0036403F">
        <w:t>Conclusion</w:t>
      </w:r>
    </w:p>
    <w:p w14:paraId="0B536674" w14:textId="22980864" w:rsidR="00C24994" w:rsidRDefault="00C24994" w:rsidP="005D33A7">
      <w:pPr>
        <w:rPr>
          <w:bCs/>
        </w:rPr>
      </w:pPr>
      <w:r w:rsidRPr="002562A8">
        <w:rPr>
          <w:bCs/>
        </w:rPr>
        <w:t xml:space="preserve">We </w:t>
      </w:r>
      <w:r w:rsidR="00DB2468">
        <w:rPr>
          <w:bCs/>
        </w:rPr>
        <w:t>observed and proposed.</w:t>
      </w:r>
    </w:p>
    <w:p w14:paraId="5DFFAA90" w14:textId="77777777" w:rsidR="00DB2468" w:rsidRPr="005F2375" w:rsidRDefault="00DB2468" w:rsidP="00DB2468">
      <w:pPr>
        <w:rPr>
          <w:b/>
          <w:bCs/>
        </w:rPr>
      </w:pPr>
      <w:r w:rsidRPr="005F2375">
        <w:rPr>
          <w:b/>
          <w:bCs/>
        </w:rPr>
        <w:t>Observation: NB IoT TDD N</w:t>
      </w:r>
      <w:r w:rsidRPr="005F2375">
        <w:rPr>
          <w:b/>
          <w:bCs/>
          <w:vertAlign w:val="subscript"/>
        </w:rPr>
        <w:t>RX-TX</w:t>
      </w:r>
      <w:r w:rsidRPr="005F2375">
        <w:rPr>
          <w:b/>
          <w:bCs/>
        </w:rPr>
        <w:t xml:space="preserve"> is more than enough for NTN NB IoT frame structure</w:t>
      </w:r>
      <w:r>
        <w:rPr>
          <w:b/>
          <w:bCs/>
        </w:rPr>
        <w:t xml:space="preserve"> and does not need further discussions</w:t>
      </w:r>
      <w:r w:rsidRPr="005F2375">
        <w:rPr>
          <w:b/>
          <w:bCs/>
        </w:rPr>
        <w:t xml:space="preserve">.   </w:t>
      </w:r>
    </w:p>
    <w:p w14:paraId="72EA6807" w14:textId="77777777" w:rsidR="00DB2468" w:rsidRPr="007E35DC" w:rsidRDefault="00DB2468" w:rsidP="00DB2468">
      <w:pPr>
        <w:rPr>
          <w:b/>
          <w:bCs/>
        </w:rPr>
      </w:pPr>
      <w:r w:rsidRPr="007E35DC">
        <w:rPr>
          <w:b/>
          <w:bCs/>
        </w:rPr>
        <w:t>Proposal 1: Focus on AMPR work for the lower side emissions</w:t>
      </w:r>
      <w:r>
        <w:rPr>
          <w:b/>
          <w:bCs/>
        </w:rPr>
        <w:t xml:space="preserve"> for band [249]</w:t>
      </w:r>
      <w:r w:rsidRPr="007E35DC">
        <w:rPr>
          <w:b/>
          <w:bCs/>
        </w:rPr>
        <w:t xml:space="preserve">. </w:t>
      </w:r>
    </w:p>
    <w:p w14:paraId="1E195501" w14:textId="77777777" w:rsidR="00DB2468" w:rsidRPr="00F6288E" w:rsidRDefault="00DB2468" w:rsidP="00DB2468">
      <w:pPr>
        <w:rPr>
          <w:b/>
          <w:bCs/>
        </w:rPr>
      </w:pPr>
      <w:r w:rsidRPr="00F6288E">
        <w:rPr>
          <w:b/>
          <w:bCs/>
        </w:rPr>
        <w:t xml:space="preserve">Proposal 2: Update frequency error requirement for TDD to allow UE to update pre-compensation between every UL slot. </w:t>
      </w:r>
    </w:p>
    <w:p w14:paraId="6E12B03B" w14:textId="77777777" w:rsidR="00DB2468" w:rsidRPr="000A3909" w:rsidRDefault="00DB2468" w:rsidP="005D33A7">
      <w:pPr>
        <w:rPr>
          <w:b/>
        </w:rPr>
      </w:pPr>
    </w:p>
    <w:p w14:paraId="11D8DF26" w14:textId="331351E0" w:rsidR="007018F3" w:rsidRDefault="007018F3" w:rsidP="00D506FF">
      <w:pPr>
        <w:pStyle w:val="Heading1"/>
        <w:ind w:left="0" w:firstLine="0"/>
      </w:pPr>
      <w:r>
        <w:lastRenderedPageBreak/>
        <w:t>Reference</w:t>
      </w:r>
    </w:p>
    <w:p w14:paraId="5E5C0ADE" w14:textId="6C5D7324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901EE9" w:rsidRPr="00901EE9">
        <w:t>RP</w:t>
      </w:r>
      <w:r w:rsidR="00901EE9">
        <w:t>-</w:t>
      </w:r>
      <w:r w:rsidR="00901EE9" w:rsidRPr="00901EE9">
        <w:t>243293</w:t>
      </w:r>
      <w:r w:rsidR="00901EE9">
        <w:t>, “</w:t>
      </w:r>
      <w:r w:rsidR="00B92535" w:rsidRPr="00B92535">
        <w:t>Revised WID on introduction of IoT-NTN TDD mode</w:t>
      </w:r>
      <w:r w:rsidR="00901EE9">
        <w:t xml:space="preserve">”, </w:t>
      </w:r>
      <w:r w:rsidR="0077379A" w:rsidRPr="0077379A">
        <w:t>Iridium Satellite LLC</w:t>
      </w:r>
      <w:r w:rsidR="0077379A">
        <w:t xml:space="preserve">, </w:t>
      </w:r>
      <w:r w:rsidR="007E0F35" w:rsidRPr="007E0F35">
        <w:t>3GPP TSG RAN Meeting #106</w:t>
      </w:r>
      <w:r w:rsidR="007E0F35">
        <w:t xml:space="preserve">, </w:t>
      </w:r>
      <w:r w:rsidR="00E207E6" w:rsidRPr="00E207E6">
        <w:t>Madrid, Spain, December 9-12, 2024</w:t>
      </w:r>
    </w:p>
    <w:p w14:paraId="45896926" w14:textId="28ECF259" w:rsidR="00D97CD5" w:rsidRDefault="00714ABC" w:rsidP="00D5222A">
      <w:pPr>
        <w:pStyle w:val="B1"/>
        <w:spacing w:after="120"/>
        <w:ind w:left="576" w:hanging="288"/>
      </w:pPr>
      <w:r>
        <w:t>[2]</w:t>
      </w:r>
      <w:r>
        <w:tab/>
      </w:r>
      <w:r w:rsidRPr="00714ABC">
        <w:t>R4-2419795</w:t>
      </w:r>
      <w:r>
        <w:t>, “</w:t>
      </w:r>
      <w:r w:rsidRPr="00714ABC">
        <w:t>Way Forward for [113][317] IoT_NTN_TDD</w:t>
      </w:r>
      <w:r>
        <w:t xml:space="preserve">”, Qualcomm, </w:t>
      </w:r>
      <w:r w:rsidR="00CB4A1B" w:rsidRPr="00CB4A1B">
        <w:t>3GPP TSG-RAN WG4 Meeting #113</w:t>
      </w:r>
      <w:r w:rsidR="00CB4A1B">
        <w:t xml:space="preserve">, </w:t>
      </w:r>
      <w:r w:rsidR="00463B01" w:rsidRPr="00463B01">
        <w:t>Orlando, US, 18th – 22nd November, 2024</w:t>
      </w:r>
    </w:p>
    <w:p w14:paraId="6BF30FBA" w14:textId="351A2230" w:rsidR="0065367F" w:rsidRDefault="0065367F" w:rsidP="00D5222A">
      <w:pPr>
        <w:pStyle w:val="B1"/>
        <w:spacing w:after="120"/>
        <w:ind w:left="576" w:hanging="288"/>
      </w:pPr>
      <w:r>
        <w:t>[3]</w:t>
      </w:r>
      <w:r>
        <w:tab/>
      </w:r>
      <w:r w:rsidRPr="0065367F">
        <w:t>R4-1711536</w:t>
      </w:r>
      <w:r>
        <w:t>, “</w:t>
      </w:r>
      <w:r w:rsidR="00674B1D" w:rsidRPr="00674B1D">
        <w:t>Reply LS to R1-1715304 LS on minimum time for DL-to-UL and UL-to-DL switching on one NB-IoT carrier for TDD NB-IoT UEs</w:t>
      </w:r>
      <w:r>
        <w:t xml:space="preserve">”, </w:t>
      </w:r>
      <w:r w:rsidR="00EB31BC">
        <w:t xml:space="preserve">RAN4 (Ericsson), </w:t>
      </w:r>
      <w:r w:rsidR="002E60E4" w:rsidRPr="002E60E4">
        <w:t>3GPP TSG RAN WG2 Meeting #84bis</w:t>
      </w:r>
      <w:r w:rsidR="002E60E4">
        <w:t xml:space="preserve">, </w:t>
      </w:r>
      <w:r w:rsidR="00117299" w:rsidRPr="00117299">
        <w:t>Dubrovnik, Croatia, 9th – 13th October 2017</w:t>
      </w:r>
    </w:p>
    <w:p w14:paraId="72A13F70" w14:textId="1C8FA723" w:rsidR="005F2375" w:rsidRDefault="00025AAF" w:rsidP="005F2375">
      <w:pPr>
        <w:pStyle w:val="B1"/>
        <w:spacing w:after="120"/>
        <w:ind w:left="576" w:hanging="288"/>
      </w:pPr>
      <w:r>
        <w:t>[4]</w:t>
      </w:r>
      <w:r w:rsidR="005F2375">
        <w:t xml:space="preserve"> R1-2500003, Report of RAN1#119 meeting</w:t>
      </w:r>
    </w:p>
    <w:p w14:paraId="0802FEAD" w14:textId="6A6CE293" w:rsidR="005F2375" w:rsidRDefault="005F2375" w:rsidP="00D5222A">
      <w:pPr>
        <w:pStyle w:val="B1"/>
        <w:spacing w:after="120"/>
        <w:ind w:left="576" w:hanging="288"/>
      </w:pPr>
    </w:p>
    <w:p w14:paraId="693ECFAB" w14:textId="33D0640B" w:rsidR="00025AAF" w:rsidRDefault="00025AAF" w:rsidP="00D5222A">
      <w:pPr>
        <w:pStyle w:val="B1"/>
        <w:spacing w:after="120"/>
        <w:ind w:left="576" w:hanging="288"/>
      </w:pPr>
    </w:p>
    <w:p w14:paraId="6253C025" w14:textId="3F7B9842" w:rsidR="00AA4150" w:rsidRDefault="005F2375" w:rsidP="005F2375">
      <w:pPr>
        <w:pStyle w:val="Heading1"/>
      </w:pPr>
      <w:r>
        <w:t>Annex: Agreement in RAN1</w:t>
      </w:r>
    </w:p>
    <w:p w14:paraId="4212D9A7" w14:textId="4A0CE36C" w:rsidR="005F2375" w:rsidRPr="00BE339B" w:rsidRDefault="00434B31" w:rsidP="00BE339B">
      <w:pPr>
        <w:pStyle w:val="B1"/>
      </w:pPr>
      <w:r>
        <w:pict w14:anchorId="6834BB93">
          <v:shape id="_x0000_i1026" type="#_x0000_t75" style="width:481.6pt;height:194.25pt;visibility:visible;mso-wrap-style:square">
            <v:imagedata r:id="rId10" o:title=""/>
          </v:shape>
        </w:pict>
      </w:r>
    </w:p>
    <w:sectPr w:rsidR="005F2375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0FFB"/>
    <w:rsid w:val="00011D94"/>
    <w:rsid w:val="00012A34"/>
    <w:rsid w:val="00012A7B"/>
    <w:rsid w:val="00012EBD"/>
    <w:rsid w:val="000132AD"/>
    <w:rsid w:val="0001362F"/>
    <w:rsid w:val="000138B6"/>
    <w:rsid w:val="000138EE"/>
    <w:rsid w:val="00013A1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5AAF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B3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04AC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6E82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2D81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17299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291"/>
    <w:rsid w:val="00131A2A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0509"/>
    <w:rsid w:val="001605A5"/>
    <w:rsid w:val="001614BB"/>
    <w:rsid w:val="00161C73"/>
    <w:rsid w:val="00161DC7"/>
    <w:rsid w:val="001620D8"/>
    <w:rsid w:val="001631D5"/>
    <w:rsid w:val="0016323F"/>
    <w:rsid w:val="00163C96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0CB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4F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5988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18A4"/>
    <w:rsid w:val="001E21C9"/>
    <w:rsid w:val="001E22F0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8E2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284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09FF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A1B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637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0E4"/>
    <w:rsid w:val="002E6B0A"/>
    <w:rsid w:val="002E7011"/>
    <w:rsid w:val="002F014B"/>
    <w:rsid w:val="002F06BB"/>
    <w:rsid w:val="002F0BA8"/>
    <w:rsid w:val="002F120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7B8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0AEC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6FD"/>
    <w:rsid w:val="00426CF6"/>
    <w:rsid w:val="00426FCE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4B3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18C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373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3EC8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687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4BD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1716"/>
    <w:rsid w:val="005E1743"/>
    <w:rsid w:val="005E1827"/>
    <w:rsid w:val="005E19CB"/>
    <w:rsid w:val="005E1DB3"/>
    <w:rsid w:val="005E2210"/>
    <w:rsid w:val="005E2B0B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375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3E79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71F8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F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B1D"/>
    <w:rsid w:val="00674D9B"/>
    <w:rsid w:val="00674FAA"/>
    <w:rsid w:val="00675294"/>
    <w:rsid w:val="006754D6"/>
    <w:rsid w:val="00675DE9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6C34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2A71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CA9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79A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35"/>
    <w:rsid w:val="007E0FFC"/>
    <w:rsid w:val="007E19D3"/>
    <w:rsid w:val="007E1BE5"/>
    <w:rsid w:val="007E1CF7"/>
    <w:rsid w:val="007E1DE0"/>
    <w:rsid w:val="007E2DD7"/>
    <w:rsid w:val="007E30D5"/>
    <w:rsid w:val="007E348A"/>
    <w:rsid w:val="007E35DC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263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00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E3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12E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27E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1EE9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093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3B9C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28A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443"/>
    <w:rsid w:val="009A1504"/>
    <w:rsid w:val="009A22C3"/>
    <w:rsid w:val="009A2557"/>
    <w:rsid w:val="009A25B1"/>
    <w:rsid w:val="009A2B39"/>
    <w:rsid w:val="009A2D00"/>
    <w:rsid w:val="009A37DD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38F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316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CB8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E70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4E67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35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316"/>
    <w:rsid w:val="00BD646F"/>
    <w:rsid w:val="00BD6A77"/>
    <w:rsid w:val="00BD6B17"/>
    <w:rsid w:val="00BD7558"/>
    <w:rsid w:val="00BE0001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79A"/>
    <w:rsid w:val="00C42B67"/>
    <w:rsid w:val="00C43709"/>
    <w:rsid w:val="00C43BC5"/>
    <w:rsid w:val="00C44163"/>
    <w:rsid w:val="00C4455B"/>
    <w:rsid w:val="00C44D20"/>
    <w:rsid w:val="00C45431"/>
    <w:rsid w:val="00C45952"/>
    <w:rsid w:val="00C45FFE"/>
    <w:rsid w:val="00C466B0"/>
    <w:rsid w:val="00C46A5D"/>
    <w:rsid w:val="00C46CC8"/>
    <w:rsid w:val="00C47124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852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846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AA3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36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1F03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0D0F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B0851"/>
    <w:rsid w:val="00DB0E76"/>
    <w:rsid w:val="00DB2468"/>
    <w:rsid w:val="00DB2F3D"/>
    <w:rsid w:val="00DB2F50"/>
    <w:rsid w:val="00DB3FFB"/>
    <w:rsid w:val="00DB4082"/>
    <w:rsid w:val="00DB421C"/>
    <w:rsid w:val="00DB4387"/>
    <w:rsid w:val="00DB444F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4BAC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7E6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85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2F8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185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BC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22"/>
    <w:rsid w:val="00ED03A1"/>
    <w:rsid w:val="00ED1BF0"/>
    <w:rsid w:val="00ED223E"/>
    <w:rsid w:val="00ED3238"/>
    <w:rsid w:val="00ED414A"/>
    <w:rsid w:val="00ED45F4"/>
    <w:rsid w:val="00ED4682"/>
    <w:rsid w:val="00ED578D"/>
    <w:rsid w:val="00ED5D70"/>
    <w:rsid w:val="00ED5F67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4858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58E"/>
    <w:rsid w:val="00F27797"/>
    <w:rsid w:val="00F2798F"/>
    <w:rsid w:val="00F27C19"/>
    <w:rsid w:val="00F30564"/>
    <w:rsid w:val="00F3065A"/>
    <w:rsid w:val="00F30D84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88E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1FE6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3F6F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995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E3B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1695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4768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250</cp:revision>
  <dcterms:created xsi:type="dcterms:W3CDTF">2024-10-04T22:11:00Z</dcterms:created>
  <dcterms:modified xsi:type="dcterms:W3CDTF">2025-02-06T22:48:00Z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